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C9A961"/>
          <w:sz w:val="20"/>
          <w:szCs w:val="20"/>
        </w:rPr>
        <w:t xml:space="preserve">BLINK REALITY</w:t>
      </w:r>
    </w:p>
    <w:p>
      <w:pPr>
        <w:spacing w:after="100"/>
      </w:pPr>
      <w:r>
        <w:rPr>
          <w:b/>
          <w:bCs/>
          <w:color w:val="0B1B33"/>
          <w:sz w:val="48"/>
          <w:szCs w:val="48"/>
        </w:rPr>
        <w:t xml:space="preserve">Sales CRM &amp; Data Platforms</w:t>
      </w:r>
    </w:p>
    <w:p>
      <w:pPr>
        <w:spacing w:after="300"/>
      </w:pPr>
      <w:r>
        <w:rPr>
          <w:i/>
          <w:iCs/>
          <w:color w:val="555555"/>
          <w:sz w:val="24"/>
          <w:szCs w:val="24"/>
        </w:rPr>
        <w:t xml:space="preserve">Competitive Analysis &amp; Battle Cards — 2026 Edition</w:t>
      </w:r>
    </w:p>
    <w:p>
      <w:pPr>
        <w:spacing w:after="100" w:before="200"/>
      </w:pPr>
      <w:r>
        <w:rPr>
          <w:b/>
          <w:bCs/>
          <w:color w:val="0B1B33"/>
          <w:sz w:val="36"/>
          <w:szCs w:val="36"/>
        </w:rPr>
        <w:t xml:space="preserve">Executive summary</w:t>
      </w:r>
    </w:p>
    <w:p>
      <w:pPr>
        <w:spacing w:after="120"/>
      </w:pPr>
      <w:r>
        <w:rPr>
          <w:sz w:val="22"/>
          <w:szCs w:val="22"/>
        </w:rPr>
        <w:t xml:space="preserve">The GTM data category has consolidated around four archetypes: (1) contact-first databases (ZoomInfo, Apollo, Cognism), (2) workflow orchestration on top of many sources (Clay, Common Room), (3) CRM systems of record (Salesforce, HubSpot), and (4) revenue intelligence overlays (Gong, Clari). Buyers rarely pick one — they combine 2–3 into a stack. This document benchmarks the fifteen platforms our clients evaluate most often, and provides one-page battle cards for the top head-to-head decisions.</w:t>
      </w:r>
    </w:p>
    <w:p>
      <w:pPr>
        <w:spacing w:after="100" w:before="200"/>
      </w:pPr>
      <w:r>
        <w:rPr>
          <w:b/>
          <w:bCs/>
          <w:color w:val="0B1B33"/>
          <w:sz w:val="36"/>
          <w:szCs w:val="36"/>
        </w:rPr>
        <w:t xml:space="preserve">Benchmark 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9A961" w:sz="6"/>
              <w:left w:val="single" w:color="C9A961" w:sz="6"/>
              <w:bottom w:val="single" w:color="C9A961" w:sz="6"/>
              <w:right w:val="single" w:color="C9A961" w:sz="6"/>
            </w:tcBorders>
            <w:shd w:fill="0B1B33" w:color="auto" w:val="clear"/>
            <w:tcMar>
              <w:top w:type="dxa" w:w="100"/>
              <w:left w:type="dxa" w:w="120"/>
              <w:bottom w:type="dxa" w:w="100"/>
              <w:right w:type="dxa" w:w="120"/>
            </w:tcMar>
          </w:tcPr>
          <w:p>
            <w:r>
              <w:rPr>
                <w:b/>
                <w:bCs/>
                <w:color w:val="FFFFFF"/>
                <w:sz w:val="20"/>
                <w:szCs w:val="20"/>
              </w:rPr>
              <w:t xml:space="preserve">Platform</w:t>
            </w:r>
          </w:p>
        </w:tc>
        <w:tc>
          <w:tcPr>
            <w:tcW w:type="dxa" w:w="2340"/>
            <w:tcBorders>
              <w:top w:val="single" w:color="C9A961" w:sz="6"/>
              <w:left w:val="single" w:color="C9A961" w:sz="6"/>
              <w:bottom w:val="single" w:color="C9A961" w:sz="6"/>
              <w:right w:val="single" w:color="C9A961" w:sz="6"/>
            </w:tcBorders>
            <w:shd w:fill="0B1B33" w:color="auto" w:val="clear"/>
            <w:tcMar>
              <w:top w:type="dxa" w:w="100"/>
              <w:left w:type="dxa" w:w="120"/>
              <w:bottom w:type="dxa" w:w="100"/>
              <w:right w:type="dxa" w:w="120"/>
            </w:tcMar>
          </w:tcPr>
          <w:p>
            <w:r>
              <w:rPr>
                <w:b/>
                <w:bCs/>
                <w:color w:val="FFFFFF"/>
                <w:sz w:val="20"/>
                <w:szCs w:val="20"/>
              </w:rPr>
              <w:t xml:space="preserve">Category</w:t>
            </w:r>
          </w:p>
        </w:tc>
        <w:tc>
          <w:tcPr>
            <w:tcW w:type="dxa" w:w="2340"/>
            <w:tcBorders>
              <w:top w:val="single" w:color="C9A961" w:sz="6"/>
              <w:left w:val="single" w:color="C9A961" w:sz="6"/>
              <w:bottom w:val="single" w:color="C9A961" w:sz="6"/>
              <w:right w:val="single" w:color="C9A961" w:sz="6"/>
            </w:tcBorders>
            <w:shd w:fill="0B1B33" w:color="auto" w:val="clear"/>
            <w:tcMar>
              <w:top w:type="dxa" w:w="100"/>
              <w:left w:type="dxa" w:w="120"/>
              <w:bottom w:type="dxa" w:w="100"/>
              <w:right w:type="dxa" w:w="120"/>
            </w:tcMar>
          </w:tcPr>
          <w:p>
            <w:r>
              <w:rPr>
                <w:b/>
                <w:bCs/>
                <w:color w:val="FFFFFF"/>
                <w:sz w:val="20"/>
                <w:szCs w:val="20"/>
              </w:rPr>
              <w:t xml:space="preserve">Best for</w:t>
            </w:r>
          </w:p>
        </w:tc>
        <w:tc>
          <w:tcPr>
            <w:tcW w:type="dxa" w:w="2340"/>
            <w:tcBorders>
              <w:top w:val="single" w:color="C9A961" w:sz="6"/>
              <w:left w:val="single" w:color="C9A961" w:sz="6"/>
              <w:bottom w:val="single" w:color="C9A961" w:sz="6"/>
              <w:right w:val="single" w:color="C9A961" w:sz="6"/>
            </w:tcBorders>
            <w:shd w:fill="0B1B33" w:color="auto" w:val="clear"/>
            <w:tcMar>
              <w:top w:type="dxa" w:w="100"/>
              <w:left w:type="dxa" w:w="120"/>
              <w:bottom w:type="dxa" w:w="100"/>
              <w:right w:type="dxa" w:w="120"/>
            </w:tcMar>
          </w:tcPr>
          <w:p>
            <w:r>
              <w:rPr>
                <w:b/>
                <w:bCs/>
                <w:color w:val="FFFFFF"/>
                <w:sz w:val="20"/>
                <w:szCs w:val="20"/>
              </w:rPr>
              <w:t xml:space="preserve">Weakness</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Salesforce Sales Cloud</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CRM</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Enterprise workflows, ecosystem</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Cost, admin overhead</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HubSpot Sales Hub</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CRM</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SMB/mid-market, marketing tie-in</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Complex reporting</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Pipedrive</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CRM</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Small teams, simplicity</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Limited enterprise features</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Close.com</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CRM</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Inside sales, calling-heavy</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Reporting depth</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ZoomInfo</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Data</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US contacts, intent</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Price, EU coverage</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Apollo.io</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Data + sequencing</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All-in-one for SMB</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Data accuracy variance</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Clay.com</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Enrichment workflows</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Custom waterfalls, GTM engineering</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Steep learning curve</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Cognism</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Data</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EU compliance, mobiles</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Smaller US TAM</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Lusha</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Data</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Quick contact lookups</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Depth beyond contacts</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Seamless.AI</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Data</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Low cost, high volume</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Accuracy concerns</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6sense</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Intent + ABM</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Enterprise ABM orchestration</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Cost, ramp</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Demandbase</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ABM</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Advertising + sales alignment</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Complex setup</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Outreach</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Sequencing</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Enterprise cadences</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UX complexity</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Salesloft</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Sequencing + RI</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Combined cadence + intelligence</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Data-side thinner</w:t>
            </w:r>
          </w:p>
        </w:tc>
      </w:tr>
      <w:tr>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Gong</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Revenue intelligence</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Call analytics, forecasting</w:t>
            </w:r>
          </w:p>
        </w:tc>
        <w:tc>
          <w:tcPr>
            <w:tcW w:type="dxa" w:w="2340"/>
            <w:tcBorders>
              <w:top w:val="single" w:color="C9A961" w:sz="6"/>
              <w:left w:val="single" w:color="C9A961" w:sz="6"/>
              <w:bottom w:val="single" w:color="C9A961" w:sz="6"/>
              <w:right w:val="single" w:color="C9A961" w:sz="6"/>
            </w:tcBorders>
            <w:tcMar>
              <w:top w:type="dxa" w:w="100"/>
              <w:left w:type="dxa" w:w="120"/>
              <w:bottom w:type="dxa" w:w="100"/>
              <w:right w:type="dxa" w:w="120"/>
            </w:tcMar>
          </w:tcPr>
          <w:p>
            <w:r>
              <w:rPr>
                <w:b w:val="false"/>
                <w:bCs w:val="false"/>
                <w:color w:val="1A1A1A"/>
                <w:sz w:val="20"/>
                <w:szCs w:val="20"/>
              </w:rPr>
              <w:t xml:space="preserve">Cost per seat</w:t>
            </w:r>
          </w:p>
        </w:tc>
      </w:tr>
    </w:tbl>
    <w:p>
      <w:r>
        <w:br w:type="page"/>
      </w:r>
    </w:p>
    <w:p>
      <w:pPr>
        <w:spacing w:after="100" w:before="200"/>
      </w:pPr>
      <w:r>
        <w:rPr>
          <w:b/>
          <w:bCs/>
          <w:color w:val="0B1B33"/>
          <w:sz w:val="36"/>
          <w:szCs w:val="36"/>
        </w:rPr>
        <w:t xml:space="preserve">Battle card — Clay.com vs Apollo.io</w:t>
      </w:r>
    </w:p>
    <w:p>
      <w:pPr>
        <w:spacing w:after="100" w:before="200"/>
      </w:pPr>
      <w:r>
        <w:rPr>
          <w:b/>
          <w:bCs/>
          <w:color w:val="0B1B33"/>
          <w:sz w:val="28"/>
          <w:szCs w:val="28"/>
        </w:rPr>
        <w:t xml:space="preserve">Positioning</w:t>
      </w:r>
    </w:p>
    <w:p>
      <w:pPr>
        <w:spacing w:after="120"/>
      </w:pPr>
      <w:r>
        <w:rPr>
          <w:sz w:val="22"/>
          <w:szCs w:val="22"/>
        </w:rPr>
        <w:t xml:space="preserve">Clay is a GTM engineering platform: you build enrichment workflows across 100+ providers via a spreadsheet interface plus AI. Apollo is a bundled prospecting suite: database + sequencer + basic dialer, aimed at SDRs who want one tool.</w:t>
      </w:r>
    </w:p>
    <w:p>
      <w:pPr>
        <w:spacing w:after="100" w:before="200"/>
      </w:pPr>
      <w:r>
        <w:rPr>
          <w:b/>
          <w:bCs/>
          <w:color w:val="0B1B33"/>
          <w:sz w:val="28"/>
          <w:szCs w:val="28"/>
        </w:rPr>
        <w:t xml:space="preserve">When Clay wins</w:t>
      </w:r>
    </w:p>
    <w:p>
      <w:pPr>
        <w:spacing w:after="60"/>
        <w:ind w:left="360"/>
      </w:pPr>
      <w:r>
        <w:rPr>
          <w:sz w:val="22"/>
          <w:szCs w:val="22"/>
        </w:rPr>
        <w:t xml:space="preserve">•  You have a RevOps/GTM engineer who can build waterfalls.</w:t>
      </w:r>
    </w:p>
    <w:p>
      <w:pPr>
        <w:spacing w:after="60"/>
        <w:ind w:left="360"/>
      </w:pPr>
      <w:r>
        <w:rPr>
          <w:sz w:val="22"/>
          <w:szCs w:val="22"/>
        </w:rPr>
        <w:t xml:space="preserve">•  Your ICP is narrow and needs custom signals (news, hiring, product usage).</w:t>
      </w:r>
    </w:p>
    <w:p>
      <w:pPr>
        <w:spacing w:after="60"/>
        <w:ind w:left="360"/>
      </w:pPr>
      <w:r>
        <w:rPr>
          <w:sz w:val="22"/>
          <w:szCs w:val="22"/>
        </w:rPr>
        <w:t xml:space="preserve">•  You already run Outreach/Salesloft/HubSpot and just need the data layer.</w:t>
      </w:r>
    </w:p>
    <w:p>
      <w:pPr>
        <w:spacing w:after="100" w:before="200"/>
      </w:pPr>
      <w:r>
        <w:rPr>
          <w:b/>
          <w:bCs/>
          <w:color w:val="0B1B33"/>
          <w:sz w:val="28"/>
          <w:szCs w:val="28"/>
        </w:rPr>
        <w:t xml:space="preserve">When Apollo wins</w:t>
      </w:r>
    </w:p>
    <w:p>
      <w:pPr>
        <w:spacing w:after="60"/>
        <w:ind w:left="360"/>
      </w:pPr>
      <w:r>
        <w:rPr>
          <w:sz w:val="22"/>
          <w:szCs w:val="22"/>
        </w:rPr>
        <w:t xml:space="preserve">•  Small team, no ops resource, wants one login.</w:t>
      </w:r>
    </w:p>
    <w:p>
      <w:pPr>
        <w:spacing w:after="60"/>
        <w:ind w:left="360"/>
      </w:pPr>
      <w:r>
        <w:rPr>
          <w:sz w:val="22"/>
          <w:szCs w:val="22"/>
        </w:rPr>
        <w:t xml:space="preserve">•  Broad ICP where a bundled database is enough.</w:t>
      </w:r>
    </w:p>
    <w:p>
      <w:pPr>
        <w:spacing w:after="60"/>
        <w:ind w:left="360"/>
      </w:pPr>
      <w:r>
        <w:rPr>
          <w:sz w:val="22"/>
          <w:szCs w:val="22"/>
        </w:rPr>
        <w:t xml:space="preserve">•  Budget under $30k/year for the full stack.</w:t>
      </w:r>
    </w:p>
    <w:p>
      <w:pPr>
        <w:spacing w:after="100" w:before="200"/>
      </w:pPr>
      <w:r>
        <w:rPr>
          <w:b/>
          <w:bCs/>
          <w:color w:val="0B1B33"/>
          <w:sz w:val="28"/>
          <w:szCs w:val="28"/>
        </w:rPr>
        <w:t xml:space="preserve">Trap to avoid</w:t>
      </w:r>
    </w:p>
    <w:p>
      <w:pPr>
        <w:spacing w:after="120"/>
      </w:pPr>
      <w:r>
        <w:rPr>
          <w:sz w:val="22"/>
          <w:szCs w:val="22"/>
        </w:rPr>
        <w:t xml:space="preserve">Do not buy Clay expecting a database — Clay is billed per credit against upstream providers. Total cost can exceed ZoomInfo if usage isn't governed.</w:t>
      </w:r>
    </w:p>
    <w:p>
      <w:r>
        <w:br w:type="page"/>
      </w:r>
    </w:p>
    <w:p>
      <w:pPr>
        <w:spacing w:after="100" w:before="200"/>
      </w:pPr>
      <w:r>
        <w:rPr>
          <w:b/>
          <w:bCs/>
          <w:color w:val="0B1B33"/>
          <w:sz w:val="36"/>
          <w:szCs w:val="36"/>
        </w:rPr>
        <w:t xml:space="preserve">Battle card — ZoomInfo vs Cognism</w:t>
      </w:r>
    </w:p>
    <w:p>
      <w:pPr>
        <w:spacing w:after="100" w:before="200"/>
      </w:pPr>
      <w:r>
        <w:rPr>
          <w:b/>
          <w:bCs/>
          <w:color w:val="0B1B33"/>
          <w:sz w:val="28"/>
          <w:szCs w:val="28"/>
        </w:rPr>
        <w:t xml:space="preserve">Positioning</w:t>
      </w:r>
    </w:p>
    <w:p>
      <w:pPr>
        <w:spacing w:after="120"/>
      </w:pPr>
      <w:r>
        <w:rPr>
          <w:sz w:val="22"/>
          <w:szCs w:val="22"/>
        </w:rPr>
        <w:t xml:space="preserve">ZoomInfo remains the deepest US B2B contact and intent dataset. Cognism leads in EU/UK compliance (GDPR-friendly, DNC screened) and mobile phone coverage internationally.</w:t>
      </w:r>
    </w:p>
    <w:p>
      <w:pPr>
        <w:spacing w:after="100" w:before="200"/>
      </w:pPr>
      <w:r>
        <w:rPr>
          <w:b/>
          <w:bCs/>
          <w:color w:val="0B1B33"/>
          <w:sz w:val="28"/>
          <w:szCs w:val="28"/>
        </w:rPr>
        <w:t xml:space="preserve">When ZoomInfo wins</w:t>
      </w:r>
    </w:p>
    <w:p>
      <w:pPr>
        <w:spacing w:after="60"/>
        <w:ind w:left="360"/>
      </w:pPr>
      <w:r>
        <w:rPr>
          <w:sz w:val="22"/>
          <w:szCs w:val="22"/>
        </w:rPr>
        <w:t xml:space="preserve">•  US-first ICP, need intent data at scale.</w:t>
      </w:r>
    </w:p>
    <w:p>
      <w:pPr>
        <w:spacing w:after="60"/>
        <w:ind w:left="360"/>
      </w:pPr>
      <w:r>
        <w:rPr>
          <w:sz w:val="22"/>
          <w:szCs w:val="22"/>
        </w:rPr>
        <w:t xml:space="preserve">•  Enterprise deployment with SFDC integration expectations.</w:t>
      </w:r>
    </w:p>
    <w:p>
      <w:pPr>
        <w:spacing w:after="60"/>
        <w:ind w:left="360"/>
      </w:pPr>
      <w:r>
        <w:rPr>
          <w:sz w:val="22"/>
          <w:szCs w:val="22"/>
        </w:rPr>
        <w:t xml:space="preserve">•  You value the WebSights + workflows suite.</w:t>
      </w:r>
    </w:p>
    <w:p>
      <w:pPr>
        <w:spacing w:after="100" w:before="200"/>
      </w:pPr>
      <w:r>
        <w:rPr>
          <w:b/>
          <w:bCs/>
          <w:color w:val="0B1B33"/>
          <w:sz w:val="28"/>
          <w:szCs w:val="28"/>
        </w:rPr>
        <w:t xml:space="preserve">When Cognism wins</w:t>
      </w:r>
    </w:p>
    <w:p>
      <w:pPr>
        <w:spacing w:after="60"/>
        <w:ind w:left="360"/>
      </w:pPr>
      <w:r>
        <w:rPr>
          <w:sz w:val="22"/>
          <w:szCs w:val="22"/>
        </w:rPr>
        <w:t xml:space="preserve">•  EU/UK-first motion, need GDPR + Diamond Data (verified mobiles).</w:t>
      </w:r>
    </w:p>
    <w:p>
      <w:pPr>
        <w:spacing w:after="60"/>
        <w:ind w:left="360"/>
      </w:pPr>
      <w:r>
        <w:rPr>
          <w:sz w:val="22"/>
          <w:szCs w:val="22"/>
        </w:rPr>
        <w:t xml:space="preserve">•  You've had ZoomInfo contract fatigue (price, auto-renewal).</w:t>
      </w:r>
    </w:p>
    <w:p>
      <w:pPr>
        <w:spacing w:after="60"/>
        <w:ind w:left="360"/>
      </w:pPr>
      <w:r>
        <w:rPr>
          <w:sz w:val="22"/>
          <w:szCs w:val="22"/>
        </w:rPr>
        <w:t xml:space="preserve">•  You want a lighter, faster contract cycle.</w:t>
      </w:r>
    </w:p>
    <w:p>
      <w:r>
        <w:br w:type="page"/>
      </w:r>
    </w:p>
    <w:p>
      <w:pPr>
        <w:spacing w:after="100" w:before="200"/>
      </w:pPr>
      <w:r>
        <w:rPr>
          <w:b/>
          <w:bCs/>
          <w:color w:val="0B1B33"/>
          <w:sz w:val="36"/>
          <w:szCs w:val="36"/>
        </w:rPr>
        <w:t xml:space="preserve">Battle card — Salesforce vs HubSpot</w:t>
      </w:r>
    </w:p>
    <w:p>
      <w:pPr>
        <w:spacing w:after="120"/>
      </w:pPr>
      <w:r>
        <w:rPr>
          <w:sz w:val="22"/>
          <w:szCs w:val="22"/>
        </w:rPr>
        <w:t xml:space="preserve">For companies under 200 employees, HubSpot's unified Marketing + Sales + Service Hub typically wins on time-to-value. Above 200 employees, or when finance/CPQ complexity kicks in, Salesforce becomes the safer long-term bet — but only if you budget for the admin.</w:t>
      </w:r>
    </w:p>
    <w:p>
      <w:pPr>
        <w:spacing w:after="100" w:before="200"/>
      </w:pPr>
      <w:r>
        <w:rPr>
          <w:b/>
          <w:bCs/>
          <w:color w:val="0B1B33"/>
          <w:sz w:val="28"/>
          <w:szCs w:val="28"/>
        </w:rPr>
        <w:t xml:space="preserve">Decision heuristic</w:t>
      </w:r>
    </w:p>
    <w:p>
      <w:pPr>
        <w:spacing w:after="60"/>
        <w:ind w:left="360"/>
      </w:pPr>
      <w:r>
        <w:rPr>
          <w:sz w:val="22"/>
          <w:szCs w:val="22"/>
        </w:rPr>
        <w:t xml:space="preserve">•  &lt;50 reps, standard motion → HubSpot.</w:t>
      </w:r>
    </w:p>
    <w:p>
      <w:pPr>
        <w:spacing w:after="60"/>
        <w:ind w:left="360"/>
      </w:pPr>
      <w:r>
        <w:rPr>
          <w:sz w:val="22"/>
          <w:szCs w:val="22"/>
        </w:rPr>
        <w:t xml:space="preserve">•  50–200 reps, growing complexity → HubSpot Enterprise or Salesforce.</w:t>
      </w:r>
    </w:p>
    <w:p>
      <w:pPr>
        <w:spacing w:after="60"/>
        <w:ind w:left="360"/>
      </w:pPr>
      <w:r>
        <w:rPr>
          <w:sz w:val="22"/>
          <w:szCs w:val="22"/>
        </w:rPr>
        <w:t xml:space="preserve">•  &gt;200 reps, multi-entity, CPQ → Salesforce.</w:t>
      </w:r>
    </w:p>
    <w:p>
      <w:pPr>
        <w:spacing w:after="100" w:before="200"/>
      </w:pPr>
      <w:r>
        <w:rPr>
          <w:b/>
          <w:bCs/>
          <w:color w:val="0B1B33"/>
          <w:sz w:val="36"/>
          <w:szCs w:val="36"/>
        </w:rPr>
        <w:t xml:space="preserve">Sources &amp; further reading</w:t>
      </w:r>
    </w:p>
    <w:p>
      <w:pPr>
        <w:spacing w:after="60"/>
        <w:ind w:left="360"/>
      </w:pPr>
      <w:r>
        <w:rPr>
          <w:sz w:val="22"/>
          <w:szCs w:val="22"/>
        </w:rPr>
        <w:t xml:space="preserve">•  g2.com/categories/crm — live category comparisons</w:t>
      </w:r>
    </w:p>
    <w:p>
      <w:pPr>
        <w:spacing w:after="60"/>
        <w:ind w:left="360"/>
      </w:pPr>
      <w:r>
        <w:rPr>
          <w:sz w:val="22"/>
          <w:szCs w:val="22"/>
        </w:rPr>
        <w:t xml:space="preserve">•  clay.com — workflows, integrations catalog</w:t>
      </w:r>
    </w:p>
    <w:p>
      <w:pPr>
        <w:spacing w:after="60"/>
        <w:ind w:left="360"/>
      </w:pPr>
      <w:r>
        <w:rPr>
          <w:sz w:val="22"/>
          <w:szCs w:val="22"/>
        </w:rPr>
        <w:t xml:space="preserve">•  zoominfo.com — data + intent product docs</w:t>
      </w:r>
    </w:p>
    <w:p>
      <w:pPr>
        <w:spacing w:after="60"/>
        <w:ind w:left="360"/>
      </w:pPr>
      <w:r>
        <w:rPr>
          <w:sz w:val="22"/>
          <w:szCs w:val="22"/>
        </w:rPr>
        <w:t xml:space="preserve">•  apollo.io — pricing and product breakdowns</w:t>
      </w:r>
    </w:p>
    <w:p>
      <w:pPr>
        <w:spacing w:after="60"/>
        <w:ind w:left="360"/>
      </w:pPr>
      <w:r>
        <w:rPr>
          <w:sz w:val="22"/>
          <w:szCs w:val="22"/>
        </w:rPr>
        <w:t xml:space="preserve">•  cognism.com — GDPR &amp; Diamond Data whitepapers</w:t>
      </w:r>
    </w:p>
    <w:p>
      <w:pPr>
        <w:spacing w:after="60"/>
        <w:ind w:left="360"/>
      </w:pPr>
      <w:r>
        <w:rPr>
          <w:sz w:val="22"/>
          <w:szCs w:val="22"/>
        </w:rPr>
        <w:t xml:space="preserve">•  hubspot.com and salesforce.com — feature matrices</w:t>
      </w:r>
    </w:p>
    <w:p>
      <w:pPr>
        <w:spacing w:before="400"/>
      </w:pPr>
      <w:r>
        <w:rPr>
          <w:i/>
          <w:iCs/>
          <w:color w:val="888888"/>
          <w:sz w:val="18"/>
          <w:szCs w:val="18"/>
        </w:rPr>
        <w:t xml:space="preserve">© Blink Reality Private Limited. Contact: sanjayjimmy@yahoo.com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2026-07-22T08:47:44.676Z</dcterms:created>
  <dcterms:modified xsi:type="dcterms:W3CDTF">2026-07-22T08:47:44.676Z</dcterms:modified>
</cp:coreProperties>
</file>

<file path=docProps/custom.xml><?xml version="1.0" encoding="utf-8"?>
<Properties xmlns="http://schemas.openxmlformats.org/officeDocument/2006/custom-properties" xmlns:vt="http://schemas.openxmlformats.org/officeDocument/2006/docPropsVTypes"/>
</file>